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BB" w:rsidRPr="00CD3AE9" w:rsidRDefault="00CD3AE9">
      <w:pPr>
        <w:spacing w:line="580" w:lineRule="exact"/>
        <w:rPr>
          <w:rFonts w:ascii="黑体" w:eastAsia="黑体" w:hAnsi="黑体" w:cs="Times New Roman"/>
          <w:b/>
          <w:spacing w:val="-20"/>
          <w:kern w:val="0"/>
          <w:sz w:val="32"/>
          <w:szCs w:val="32"/>
        </w:rPr>
      </w:pPr>
      <w:r w:rsidRPr="00CD3AE9">
        <w:rPr>
          <w:rFonts w:ascii="黑体" w:eastAsia="黑体" w:hAnsi="黑体" w:cs="Times New Roman" w:hint="eastAsia"/>
          <w:b/>
          <w:spacing w:val="-20"/>
          <w:kern w:val="0"/>
          <w:sz w:val="32"/>
          <w:szCs w:val="32"/>
        </w:rPr>
        <w:t>海报</w:t>
      </w:r>
      <w:proofErr w:type="gramStart"/>
      <w:r w:rsidRPr="00CD3AE9">
        <w:rPr>
          <w:rFonts w:ascii="黑体" w:eastAsia="黑体" w:hAnsi="黑体" w:cs="Times New Roman" w:hint="eastAsia"/>
          <w:b/>
          <w:spacing w:val="-20"/>
          <w:kern w:val="0"/>
          <w:sz w:val="32"/>
          <w:szCs w:val="32"/>
        </w:rPr>
        <w:t>一</w:t>
      </w:r>
      <w:proofErr w:type="gramEnd"/>
      <w:r w:rsidRPr="00CD3AE9">
        <w:rPr>
          <w:rFonts w:ascii="黑体" w:eastAsia="黑体" w:hAnsi="黑体" w:cs="Times New Roman" w:hint="eastAsia"/>
          <w:b/>
          <w:spacing w:val="-20"/>
          <w:kern w:val="0"/>
          <w:sz w:val="32"/>
          <w:szCs w:val="32"/>
        </w:rPr>
        <w:t>：</w:t>
      </w:r>
    </w:p>
    <w:p w:rsidR="00EB20BB" w:rsidRDefault="00782EFF">
      <w:pPr>
        <w:spacing w:line="6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吴江区基本情况简介</w:t>
      </w:r>
    </w:p>
    <w:p w:rsidR="00EB20BB" w:rsidRDefault="00EB20BB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B20BB" w:rsidRDefault="00782EFF">
      <w:pPr>
        <w:spacing w:line="52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吴江是江苏省的“南大门”，东邻上海，西濒太湖，南连浙江，北依苏州主城区，地处江浙沪两省一市交汇的长江三角洲中心腹地。全区总面积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1176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平方公里，常住人口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130.98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万，户籍人口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84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万，包括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个国家级开发区、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个省级高新区、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个省级旅游度假区，是苏州城区最大的板块和城市发展的重要纵深所在。</w:t>
      </w:r>
    </w:p>
    <w:p w:rsidR="00EB20BB" w:rsidRDefault="00782EFF" w:rsidP="00CD3AE9">
      <w:pPr>
        <w:spacing w:line="52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sz w:val="30"/>
          <w:szCs w:val="30"/>
        </w:rPr>
        <w:t>吴江是人文之区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。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公元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909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年建县，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1992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年撤县设市，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2012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年撤市设区，是享誉全国的“鱼米之乡”“丝绸之府”。悠长久远的历史和勤勉诚信的民风，孕育了包括爱国诗人柳亚子、社会学家费孝通、“两弹一星”功勋科学家程开甲等一大批社会英才。江南民居风貌独特，造就了同里、黎里、震泽三个中国历史文化名镇。继</w:t>
      </w:r>
      <w:proofErr w:type="gramStart"/>
      <w:r>
        <w:rPr>
          <w:rFonts w:ascii="仿宋_GB2312" w:eastAsia="仿宋_GB2312" w:hAnsi="方正仿宋_GBK" w:cs="方正仿宋_GBK" w:hint="eastAsia"/>
          <w:sz w:val="30"/>
          <w:szCs w:val="30"/>
        </w:rPr>
        <w:t>同里退思</w:t>
      </w:r>
      <w:proofErr w:type="gramEnd"/>
      <w:r>
        <w:rPr>
          <w:rFonts w:ascii="仿宋_GB2312" w:eastAsia="仿宋_GB2312" w:hAnsi="方正仿宋_GBK" w:cs="方正仿宋_GBK" w:hint="eastAsia"/>
          <w:sz w:val="30"/>
          <w:szCs w:val="30"/>
        </w:rPr>
        <w:t>园之后，大运河吴江段和吴江运河古</w:t>
      </w:r>
      <w:proofErr w:type="gramStart"/>
      <w:r>
        <w:rPr>
          <w:rFonts w:ascii="仿宋_GB2312" w:eastAsia="仿宋_GB2312" w:hAnsi="方正仿宋_GBK" w:cs="方正仿宋_GBK" w:hint="eastAsia"/>
          <w:sz w:val="30"/>
          <w:szCs w:val="30"/>
        </w:rPr>
        <w:t>纤</w:t>
      </w:r>
      <w:proofErr w:type="gramEnd"/>
      <w:r>
        <w:rPr>
          <w:rFonts w:ascii="仿宋_GB2312" w:eastAsia="仿宋_GB2312" w:hAnsi="方正仿宋_GBK" w:cs="方正仿宋_GBK" w:hint="eastAsia"/>
          <w:sz w:val="30"/>
          <w:szCs w:val="30"/>
        </w:rPr>
        <w:t>道分别作为河道遗产和重要遗产点也列入《世界文化遗产名录》。</w:t>
      </w:r>
    </w:p>
    <w:p w:rsidR="00EB20BB" w:rsidRDefault="00782EFF" w:rsidP="00CD3AE9">
      <w:pPr>
        <w:spacing w:line="52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sz w:val="30"/>
          <w:szCs w:val="30"/>
        </w:rPr>
        <w:t>吴江是实力之区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。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上半年，完成地区生产总值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987.1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亿元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,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同比增长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6.8%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；一般公共预算收入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118.2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亿元，同比增长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9.3%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；完成工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业总产值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2265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亿元，同比增长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0.8%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；完成全社会固定资产投资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319.6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亿元，同比增长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10.2%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。丝绸纺织、电子信息、光电通信、装备</w:t>
      </w:r>
      <w:proofErr w:type="gramStart"/>
      <w:r>
        <w:rPr>
          <w:rFonts w:ascii="仿宋_GB2312" w:eastAsia="仿宋_GB2312" w:hAnsi="方正仿宋_GBK" w:cs="方正仿宋_GBK" w:hint="eastAsia"/>
          <w:sz w:val="30"/>
          <w:szCs w:val="30"/>
        </w:rPr>
        <w:t>制造四</w:t>
      </w:r>
      <w:proofErr w:type="gramEnd"/>
      <w:r>
        <w:rPr>
          <w:rFonts w:ascii="仿宋_GB2312" w:eastAsia="仿宋_GB2312" w:hAnsi="方正仿宋_GBK" w:cs="方正仿宋_GBK" w:hint="eastAsia"/>
          <w:sz w:val="30"/>
          <w:szCs w:val="30"/>
        </w:rPr>
        <w:t>大主导产业稳步发展，新一代信息技术、新型半导体、生物医药等新兴产业和现代服务业发展迅速。民营经济发达，</w:t>
      </w:r>
      <w:r>
        <w:rPr>
          <w:rFonts w:ascii="仿宋_GB2312" w:eastAsia="仿宋_GB2312" w:hAnsi="方正仿宋_GBK" w:cs="方正仿宋_GBK" w:hint="eastAsia"/>
          <w:sz w:val="30"/>
          <w:szCs w:val="30"/>
        </w:rPr>
        <w:t xml:space="preserve"> 4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家企业入围中国企业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500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强，</w:t>
      </w:r>
      <w:r>
        <w:rPr>
          <w:rFonts w:ascii="仿宋_GB2312" w:eastAsia="仿宋_GB2312" w:hAnsi="方正仿宋_GBK" w:cs="方正仿宋_GBK" w:hint="eastAsia"/>
          <w:sz w:val="30"/>
          <w:szCs w:val="30"/>
        </w:rPr>
        <w:t xml:space="preserve"> 5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家企业入围中国民企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500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强，恒力跻身世界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500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强企业，位列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181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位。工业企业资源集约利用信息系统全省首创，智能工业领跑全省县市区。</w:t>
      </w:r>
    </w:p>
    <w:p w:rsidR="00EB20BB" w:rsidRDefault="00782EFF" w:rsidP="00CD3AE9">
      <w:pPr>
        <w:spacing w:line="52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sz w:val="30"/>
          <w:szCs w:val="30"/>
        </w:rPr>
        <w:t>吴江是活力之区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。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既有中心城区的功能优势，又有县域经济的活力优势。拥有国家级</w:t>
      </w:r>
      <w:proofErr w:type="gramStart"/>
      <w:r>
        <w:rPr>
          <w:rFonts w:ascii="仿宋_GB2312" w:eastAsia="仿宋_GB2312" w:hAnsi="方正仿宋_GBK" w:cs="方正仿宋_GBK" w:hint="eastAsia"/>
          <w:sz w:val="30"/>
          <w:szCs w:val="30"/>
        </w:rPr>
        <w:t>科创园</w:t>
      </w:r>
      <w:proofErr w:type="gramEnd"/>
      <w:r>
        <w:rPr>
          <w:rFonts w:ascii="仿宋_GB2312" w:eastAsia="仿宋_GB2312" w:hAnsi="方正仿宋_GBK" w:cs="方正仿宋_GBK" w:hint="eastAsia"/>
          <w:sz w:val="30"/>
          <w:szCs w:val="30"/>
        </w:rPr>
        <w:t>4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家，国家级</w:t>
      </w:r>
      <w:proofErr w:type="gramStart"/>
      <w:r>
        <w:rPr>
          <w:rFonts w:ascii="仿宋_GB2312" w:eastAsia="仿宋_GB2312" w:hAnsi="方正仿宋_GBK" w:cs="方正仿宋_GBK" w:hint="eastAsia"/>
          <w:sz w:val="30"/>
          <w:szCs w:val="30"/>
        </w:rPr>
        <w:t>众创空间</w:t>
      </w:r>
      <w:proofErr w:type="gramEnd"/>
      <w:r>
        <w:rPr>
          <w:rFonts w:ascii="仿宋_GB2312" w:eastAsia="仿宋_GB2312" w:hAnsi="方正仿宋_GBK" w:cs="方正仿宋_GBK" w:hint="eastAsia"/>
          <w:sz w:val="30"/>
          <w:szCs w:val="30"/>
        </w:rPr>
        <w:t>4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家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，国家级企业</w:t>
      </w:r>
      <w:r>
        <w:rPr>
          <w:rFonts w:ascii="仿宋_GB2312" w:eastAsia="仿宋_GB2312" w:hAnsi="方正仿宋_GBK" w:cs="方正仿宋_GBK" w:hint="eastAsia"/>
          <w:sz w:val="30"/>
          <w:szCs w:val="30"/>
        </w:rPr>
        <w:lastRenderedPageBreak/>
        <w:t>技术中心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家；拥有国家千人计划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55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人，国家级企业博士后科研工作站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46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家。累计上市企业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16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家，“新三板”挂牌企业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54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家。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2019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年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月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30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日，中共中央、国务院印发《长江三角洲区域一体化发展规划纲要》，提出以上海青浦、江苏吴江、浙江嘉善为“长三角生态绿色一体化发展示范区”，示范引领长三角地区更高质量一体化发展，吴江迎来重大历史发展机遇。</w:t>
      </w:r>
    </w:p>
    <w:p w:rsidR="00EB20BB" w:rsidRDefault="00782EFF" w:rsidP="00CD3AE9">
      <w:pPr>
        <w:spacing w:line="52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sz w:val="30"/>
          <w:szCs w:val="30"/>
        </w:rPr>
        <w:t>吴江是绿色之区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。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水域面积占全区面积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23%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，列入</w:t>
      </w:r>
      <w:proofErr w:type="gramStart"/>
      <w:r>
        <w:rPr>
          <w:rFonts w:ascii="仿宋_GB2312" w:eastAsia="仿宋_GB2312" w:hAnsi="方正仿宋_GBK" w:cs="方正仿宋_GBK" w:hint="eastAsia"/>
          <w:sz w:val="30"/>
          <w:szCs w:val="30"/>
        </w:rPr>
        <w:t>省保护湖泊名录达</w:t>
      </w:r>
      <w:proofErr w:type="gramEnd"/>
      <w:r>
        <w:rPr>
          <w:rFonts w:ascii="仿宋_GB2312" w:eastAsia="仿宋_GB2312" w:hAnsi="方正仿宋_GBK" w:cs="方正仿宋_GBK" w:hint="eastAsia"/>
          <w:sz w:val="30"/>
          <w:szCs w:val="30"/>
        </w:rPr>
        <w:t>56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个（含太湖），占全省的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40%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。自然湿地保护率达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72.6%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，林木覆盖率达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19.8%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。太湖岸线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47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公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里，是整个太湖水质最好、空气最好的区域之一。拥有国家湿地公园建设试点单位同里湿地公园、省级森林公园桃源森林公园。水环境、大气环境质量在“三治”、“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263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”专项行动等综合工程实施下明显改善。</w:t>
      </w:r>
    </w:p>
    <w:p w:rsidR="00EB20BB" w:rsidRDefault="00782EFF" w:rsidP="00CD3AE9">
      <w:pPr>
        <w:spacing w:line="52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sz w:val="30"/>
          <w:szCs w:val="30"/>
        </w:rPr>
        <w:t>吴江是乐居之区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。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新城建设加速崛起，太湖新城完成投资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1600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亿元，其中政府性投入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500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亿元左右，</w:t>
      </w:r>
      <w:proofErr w:type="gramStart"/>
      <w:r>
        <w:rPr>
          <w:rFonts w:ascii="仿宋_GB2312" w:eastAsia="仿宋_GB2312" w:hAnsi="方正仿宋_GBK" w:cs="方正仿宋_GBK" w:hint="eastAsia"/>
          <w:sz w:val="30"/>
          <w:szCs w:val="30"/>
        </w:rPr>
        <w:t>产城融合</w:t>
      </w:r>
      <w:proofErr w:type="gramEnd"/>
      <w:r>
        <w:rPr>
          <w:rFonts w:ascii="仿宋_GB2312" w:eastAsia="仿宋_GB2312" w:hAnsi="方正仿宋_GBK" w:cs="方正仿宋_GBK" w:hint="eastAsia"/>
          <w:sz w:val="30"/>
          <w:szCs w:val="30"/>
        </w:rPr>
        <w:t>发展得到扎实推进。教育、医疗设施布局合理，苏州大学未来校区成功落户，苏州九院、苏州京东方国际医院即将竣工投用，是一座学有优教、劳有丰酬、病有良医、老有颐养、行有通衢、住有适所、天蓝水清的乐居之城。</w:t>
      </w:r>
    </w:p>
    <w:p w:rsidR="00EB20BB" w:rsidRDefault="00EB20BB">
      <w:pPr>
        <w:spacing w:line="52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</w:p>
    <w:p w:rsidR="00EB20BB" w:rsidRDefault="00782EFF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CD3AE9" w:rsidRPr="00CD3AE9" w:rsidRDefault="00CD3AE9" w:rsidP="00CD3AE9">
      <w:pPr>
        <w:spacing w:line="580" w:lineRule="exact"/>
        <w:rPr>
          <w:rFonts w:ascii="黑体" w:eastAsia="黑体" w:hAnsi="黑体" w:cs="Times New Roman" w:hint="eastAsia"/>
          <w:b/>
          <w:spacing w:val="-20"/>
          <w:kern w:val="0"/>
          <w:sz w:val="32"/>
          <w:szCs w:val="32"/>
        </w:rPr>
      </w:pPr>
      <w:r w:rsidRPr="00CD3AE9">
        <w:rPr>
          <w:rFonts w:ascii="黑体" w:eastAsia="黑体" w:hAnsi="黑体" w:cs="Times New Roman" w:hint="eastAsia"/>
          <w:b/>
          <w:spacing w:val="-20"/>
          <w:kern w:val="0"/>
          <w:sz w:val="32"/>
          <w:szCs w:val="32"/>
        </w:rPr>
        <w:lastRenderedPageBreak/>
        <w:t>海报二：</w:t>
      </w:r>
    </w:p>
    <w:p w:rsidR="00EB20BB" w:rsidRDefault="00782EFF">
      <w:pPr>
        <w:spacing w:line="6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苏州市吴江区教育情况简介</w:t>
      </w:r>
    </w:p>
    <w:p w:rsidR="00EB20BB" w:rsidRDefault="00EB20BB">
      <w:pPr>
        <w:spacing w:line="520" w:lineRule="exact"/>
        <w:rPr>
          <w:rFonts w:ascii="微软雅黑" w:eastAsia="微软雅黑" w:hAnsi="微软雅黑"/>
          <w:b/>
          <w:sz w:val="44"/>
          <w:szCs w:val="44"/>
        </w:rPr>
      </w:pPr>
    </w:p>
    <w:p w:rsidR="00EB20BB" w:rsidRDefault="00782EFF">
      <w:pPr>
        <w:spacing w:line="52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/>
          <w:sz w:val="30"/>
          <w:szCs w:val="30"/>
        </w:rPr>
        <w:t>近年来，吴江以</w:t>
      </w:r>
      <w:r>
        <w:rPr>
          <w:rFonts w:ascii="仿宋_GB2312" w:eastAsia="仿宋_GB2312" w:hAnsi="方正仿宋_GBK" w:cs="方正仿宋_GBK"/>
          <w:sz w:val="30"/>
          <w:szCs w:val="30"/>
        </w:rPr>
        <w:t>“</w:t>
      </w:r>
      <w:r>
        <w:rPr>
          <w:rFonts w:ascii="仿宋_GB2312" w:eastAsia="仿宋_GB2312" w:hAnsi="方正仿宋_GBK" w:cs="方正仿宋_GBK"/>
          <w:sz w:val="30"/>
          <w:szCs w:val="30"/>
        </w:rPr>
        <w:t>办好人民满意的教育</w:t>
      </w:r>
      <w:r>
        <w:rPr>
          <w:rFonts w:ascii="仿宋_GB2312" w:eastAsia="仿宋_GB2312" w:hAnsi="方正仿宋_GBK" w:cs="方正仿宋_GBK"/>
          <w:sz w:val="30"/>
          <w:szCs w:val="30"/>
        </w:rPr>
        <w:t>”</w:t>
      </w:r>
      <w:r>
        <w:rPr>
          <w:rFonts w:ascii="仿宋_GB2312" w:eastAsia="仿宋_GB2312" w:hAnsi="方正仿宋_GBK" w:cs="方正仿宋_GBK"/>
          <w:sz w:val="30"/>
          <w:szCs w:val="30"/>
        </w:rPr>
        <w:t>为宗旨，坚持规划引领，加大教育投入，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深入实施《深化教育综合改革</w:t>
      </w:r>
      <w:r>
        <w:rPr>
          <w:rFonts w:ascii="仿宋_GB2312" w:eastAsia="仿宋_GB2312" w:hAnsi="方正仿宋_GBK" w:cs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全面提高教育质量三年行动计划》，着力打造“教育名区”</w:t>
      </w:r>
      <w:r>
        <w:rPr>
          <w:rFonts w:ascii="仿宋_GB2312" w:eastAsia="仿宋_GB2312" w:hAnsi="方正仿宋_GBK" w:cs="方正仿宋_GBK"/>
          <w:sz w:val="30"/>
          <w:szCs w:val="30"/>
        </w:rPr>
        <w:t>。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目前</w:t>
      </w:r>
      <w:r>
        <w:rPr>
          <w:rFonts w:ascii="仿宋_GB2312" w:eastAsia="仿宋_GB2312" w:hAnsi="方正仿宋_GBK" w:cs="方正仿宋_GBK"/>
          <w:sz w:val="30"/>
          <w:szCs w:val="30"/>
        </w:rPr>
        <w:t>，全区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拥有</w:t>
      </w:r>
      <w:r>
        <w:rPr>
          <w:rFonts w:ascii="仿宋_GB2312" w:eastAsia="仿宋_GB2312" w:hAnsi="方正仿宋_GBK" w:cs="方正仿宋_GBK"/>
          <w:sz w:val="30"/>
          <w:szCs w:val="30"/>
        </w:rPr>
        <w:t>各级各类全日制学校（园）</w:t>
      </w:r>
      <w:r>
        <w:rPr>
          <w:rFonts w:ascii="仿宋_GB2312" w:eastAsia="仿宋_GB2312" w:hAnsi="方正仿宋_GBK" w:cs="方正仿宋_GBK"/>
          <w:sz w:val="30"/>
          <w:szCs w:val="30"/>
        </w:rPr>
        <w:t>1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69</w:t>
      </w:r>
      <w:r>
        <w:rPr>
          <w:rFonts w:ascii="仿宋_GB2312" w:eastAsia="仿宋_GB2312" w:hAnsi="方正仿宋_GBK" w:cs="方正仿宋_GBK"/>
          <w:sz w:val="30"/>
          <w:szCs w:val="30"/>
        </w:rPr>
        <w:t>所，在校（园）学生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近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19.5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万</w:t>
      </w:r>
      <w:r>
        <w:rPr>
          <w:rFonts w:ascii="仿宋_GB2312" w:eastAsia="仿宋_GB2312" w:hAnsi="方正仿宋_GBK" w:cs="方正仿宋_GBK"/>
          <w:sz w:val="30"/>
          <w:szCs w:val="30"/>
        </w:rPr>
        <w:t>人，教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师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万余</w:t>
      </w:r>
      <w:r>
        <w:rPr>
          <w:rFonts w:ascii="仿宋_GB2312" w:eastAsia="仿宋_GB2312" w:hAnsi="方正仿宋_GBK" w:cs="方正仿宋_GBK"/>
          <w:sz w:val="30"/>
          <w:szCs w:val="30"/>
        </w:rPr>
        <w:t>人。先后荣获全国数字化学习先行区、全国义务教育发展基本均衡县（市、区）、全国社区教育实验区、全国中小学责任督学挂牌督导创新县（市、区）等荣誉称号。</w:t>
      </w:r>
    </w:p>
    <w:p w:rsidR="00EB20BB" w:rsidRDefault="00782EFF">
      <w:pPr>
        <w:spacing w:line="560" w:lineRule="exact"/>
        <w:jc w:val="left"/>
        <w:rPr>
          <w:rFonts w:ascii="仿宋_GB2312" w:eastAsia="仿宋_GB2312" w:hAnsi="方正仿宋_GBK" w:cs="方正仿宋_GBK" w:hint="eastAsia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全区学前三年入园率、义务教育阶段适龄儿童入学率、巩固率保持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100%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，残疾儿童少年毛入学率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100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。高中段毛入学率保持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100%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。全区共建立了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个紧密型、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18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个协作型、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17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个帮扶型以及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5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个纵向式教育集团，深入开展集团化办学的特色探索，有效推动了教育优质均衡发展。以立德树人为根本，着力推动学生德智体美劳全面发展，学校的各类文化、体育活动百花齐放，学生的文艺表演登上了中央电视台、全国艺术展演等国家级舞台。一年来获评国家级基础教育教学成果奖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项、省基础教育内涵建设项目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6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项。吴江始终坚持“人才强教”战略，涌现出管建刚、薛法根、唐琴等一大批有影响力的名师，目前全区拥有国家“万人计划”教学名师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人，省人民教育家培养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工程培养对象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3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人，</w:t>
      </w:r>
      <w:proofErr w:type="gramStart"/>
      <w:r>
        <w:rPr>
          <w:rFonts w:ascii="仿宋_GB2312" w:eastAsia="仿宋_GB2312" w:hAnsi="方正仿宋_GBK" w:cs="方正仿宋_GBK" w:hint="eastAsia"/>
          <w:sz w:val="30"/>
          <w:szCs w:val="30"/>
        </w:rPr>
        <w:t>在职省</w:t>
      </w:r>
      <w:proofErr w:type="gramEnd"/>
      <w:r>
        <w:rPr>
          <w:rFonts w:ascii="仿宋_GB2312" w:eastAsia="仿宋_GB2312" w:hAnsi="方正仿宋_GBK" w:cs="方正仿宋_GBK" w:hint="eastAsia"/>
          <w:sz w:val="30"/>
          <w:szCs w:val="30"/>
        </w:rPr>
        <w:t>特级教师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35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人，正高级教师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20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人，苏州大市学科带头人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224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人，入选姑苏教育人才计划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41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人（次），区级以上骨干教师比例近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33%</w:t>
      </w:r>
      <w:r>
        <w:rPr>
          <w:rFonts w:ascii="仿宋_GB2312" w:eastAsia="仿宋_GB2312" w:hAnsi="方正仿宋_GBK" w:cs="方正仿宋_GBK" w:hint="eastAsia"/>
          <w:sz w:val="30"/>
          <w:szCs w:val="30"/>
        </w:rPr>
        <w:t>，居苏州大市前列。</w:t>
      </w:r>
    </w:p>
    <w:p w:rsidR="00CD3AE9" w:rsidRDefault="00CD3AE9">
      <w:pPr>
        <w:spacing w:line="560" w:lineRule="exact"/>
        <w:jc w:val="left"/>
        <w:rPr>
          <w:rFonts w:ascii="仿宋_GB2312" w:eastAsia="仿宋_GB2312" w:hAnsi="方正仿宋_GBK" w:cs="方正仿宋_GBK" w:hint="eastAsia"/>
          <w:sz w:val="30"/>
          <w:szCs w:val="30"/>
        </w:rPr>
      </w:pPr>
    </w:p>
    <w:p w:rsidR="00CD3AE9" w:rsidRDefault="00CD3AE9">
      <w:pPr>
        <w:spacing w:line="560" w:lineRule="exact"/>
        <w:jc w:val="left"/>
      </w:pPr>
    </w:p>
    <w:sectPr w:rsidR="00CD3AE9" w:rsidSect="00EB20BB">
      <w:footerReference w:type="default" r:id="rId7"/>
      <w:pgSz w:w="11850" w:h="16783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FF" w:rsidRDefault="00782EFF" w:rsidP="00EB20BB">
      <w:r>
        <w:separator/>
      </w:r>
    </w:p>
  </w:endnote>
  <w:endnote w:type="continuationSeparator" w:id="0">
    <w:p w:rsidR="00782EFF" w:rsidRDefault="00782EFF" w:rsidP="00EB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BB" w:rsidRDefault="00EB20B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1"/>
        <w:szCs w:val="21"/>
      </w:rPr>
    </w:pPr>
    <w:r>
      <w:rPr>
        <w:rStyle w:val="a5"/>
        <w:rFonts w:ascii="Times New Roman" w:hAnsi="Times New Roman"/>
        <w:sz w:val="21"/>
        <w:szCs w:val="21"/>
      </w:rPr>
      <w:fldChar w:fldCharType="begin"/>
    </w:r>
    <w:r w:rsidR="00782EFF">
      <w:rPr>
        <w:rStyle w:val="a5"/>
        <w:rFonts w:ascii="Times New Roman" w:hAnsi="Times New Roman"/>
        <w:sz w:val="21"/>
        <w:szCs w:val="21"/>
      </w:rPr>
      <w:instrText xml:space="preserve">PAGE  </w:instrText>
    </w:r>
    <w:r>
      <w:rPr>
        <w:rStyle w:val="a5"/>
        <w:rFonts w:ascii="Times New Roman" w:hAnsi="Times New Roman"/>
        <w:sz w:val="21"/>
        <w:szCs w:val="21"/>
      </w:rPr>
      <w:fldChar w:fldCharType="separate"/>
    </w:r>
    <w:r w:rsidR="00CD3AE9">
      <w:rPr>
        <w:rStyle w:val="a5"/>
        <w:rFonts w:ascii="Times New Roman" w:hAnsi="Times New Roman"/>
        <w:noProof/>
        <w:sz w:val="21"/>
        <w:szCs w:val="21"/>
      </w:rPr>
      <w:t>1</w:t>
    </w:r>
    <w:r>
      <w:rPr>
        <w:rStyle w:val="a5"/>
        <w:rFonts w:ascii="Times New Roman" w:hAnsi="Times New Roman"/>
        <w:sz w:val="21"/>
        <w:szCs w:val="21"/>
      </w:rPr>
      <w:fldChar w:fldCharType="end"/>
    </w:r>
  </w:p>
  <w:p w:rsidR="00EB20BB" w:rsidRDefault="00EB20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FF" w:rsidRDefault="00782EFF" w:rsidP="00EB20BB">
      <w:r>
        <w:separator/>
      </w:r>
    </w:p>
  </w:footnote>
  <w:footnote w:type="continuationSeparator" w:id="0">
    <w:p w:rsidR="00782EFF" w:rsidRDefault="00782EFF" w:rsidP="00EB2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F63"/>
    <w:rsid w:val="00023339"/>
    <w:rsid w:val="00075C96"/>
    <w:rsid w:val="00216029"/>
    <w:rsid w:val="00246324"/>
    <w:rsid w:val="004A3C37"/>
    <w:rsid w:val="00625B56"/>
    <w:rsid w:val="00670937"/>
    <w:rsid w:val="006C240B"/>
    <w:rsid w:val="00700F23"/>
    <w:rsid w:val="00782EFF"/>
    <w:rsid w:val="007C3A5C"/>
    <w:rsid w:val="007E6C1E"/>
    <w:rsid w:val="00894019"/>
    <w:rsid w:val="008B1F63"/>
    <w:rsid w:val="008F6533"/>
    <w:rsid w:val="009041D6"/>
    <w:rsid w:val="00925058"/>
    <w:rsid w:val="00944282"/>
    <w:rsid w:val="00B25793"/>
    <w:rsid w:val="00B26259"/>
    <w:rsid w:val="00B30B18"/>
    <w:rsid w:val="00BE4D3C"/>
    <w:rsid w:val="00C600AE"/>
    <w:rsid w:val="00C65202"/>
    <w:rsid w:val="00CD3AE9"/>
    <w:rsid w:val="00DC52DE"/>
    <w:rsid w:val="00DF687A"/>
    <w:rsid w:val="00E73ECF"/>
    <w:rsid w:val="00EB20BB"/>
    <w:rsid w:val="00EB3650"/>
    <w:rsid w:val="00F71CFB"/>
    <w:rsid w:val="00F97E25"/>
    <w:rsid w:val="02735662"/>
    <w:rsid w:val="08225173"/>
    <w:rsid w:val="161A7867"/>
    <w:rsid w:val="19600452"/>
    <w:rsid w:val="2D5D6C03"/>
    <w:rsid w:val="2DD90EF5"/>
    <w:rsid w:val="35753AEA"/>
    <w:rsid w:val="3AD14F94"/>
    <w:rsid w:val="3B214E04"/>
    <w:rsid w:val="4A25205D"/>
    <w:rsid w:val="52521B42"/>
    <w:rsid w:val="5AB87882"/>
    <w:rsid w:val="5B2A014C"/>
    <w:rsid w:val="6B570F0A"/>
    <w:rsid w:val="70AE4531"/>
    <w:rsid w:val="7819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B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B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EB20BB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EB20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2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办公室-刘聪</dc:creator>
  <cp:lastModifiedBy>user</cp:lastModifiedBy>
  <cp:revision>5</cp:revision>
  <dcterms:created xsi:type="dcterms:W3CDTF">2018-10-15T06:05:00Z</dcterms:created>
  <dcterms:modified xsi:type="dcterms:W3CDTF">2019-10-15T00:52:00Z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